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right"/>
      </w:pPr>
      <w:r>
        <w:rPr>
          <w:rStyle w:val="CharStyle3"/>
        </w:rPr>
        <w:t>Приложение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rStyle w:val="CharStyle3"/>
        </w:rPr>
        <w:t>Управление имущественных отношений Таймырского Долгано-Ненецкого муниципального района извещает о проведении аукциона на право заключения договоров аренды земельных участков, государственная собственность на которые не разграничена на территории сельского поселения Хатанга (два лота).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both"/>
      </w:pPr>
      <w:r>
        <w:rPr>
          <w:rStyle w:val="CharStyle3"/>
        </w:rPr>
        <w:t xml:space="preserve">Документы по проведению аукциона размещены на официальном сайте Российской Федерации в информационно-телекоммуникационной сети «Интернет» </w:t>
      </w:r>
      <w:r>
        <w:fldChar w:fldCharType="begin"/>
      </w:r>
      <w:r>
        <w:rPr/>
        <w:instrText> HYPERLINK "http://www.rts-tender.ru" </w:instrText>
      </w:r>
      <w:r>
        <w:fldChar w:fldCharType="separate"/>
      </w:r>
      <w:r>
        <w:rPr>
          <w:rStyle w:val="CharStyle3"/>
          <w:lang w:val="en-US" w:eastAsia="en-US"/>
        </w:rPr>
        <w:t>www.rts-tender.ru</w:t>
      </w:r>
      <w:r>
        <w:fldChar w:fldCharType="end"/>
      </w:r>
      <w:r>
        <w:rPr>
          <w:rStyle w:val="CharStyle3"/>
          <w:lang w:val="en-US" w:eastAsia="en-US"/>
        </w:rPr>
        <w:t xml:space="preserve"> </w:t>
      </w:r>
      <w:r>
        <w:rPr>
          <w:rStyle w:val="CharStyle3"/>
        </w:rPr>
        <w:t xml:space="preserve">№ </w:t>
      </w:r>
      <w:r>
        <w:rPr>
          <w:rStyle w:val="CharStyle3"/>
          <w:b/>
          <w:bCs/>
        </w:rPr>
        <w:t xml:space="preserve">22000055990000000077 от 25.03.2025, </w:t>
      </w:r>
      <w:r>
        <w:rPr>
          <w:rStyle w:val="CharStyle3"/>
        </w:rPr>
        <w:t xml:space="preserve">а также на официальном сайте Таймырского Долгано-Ненецкого муниципального района </w:t>
      </w:r>
      <w:r>
        <w:fldChar w:fldCharType="begin"/>
      </w:r>
      <w:r>
        <w:rPr/>
        <w:instrText> HYPERLINK "http://www.taimyr24.ru" </w:instrText>
      </w:r>
      <w:r>
        <w:fldChar w:fldCharType="separate"/>
      </w:r>
      <w:r>
        <w:rPr>
          <w:rStyle w:val="CharStyle3"/>
          <w:u w:val="single"/>
          <w:lang w:val="en-US" w:eastAsia="en-US"/>
        </w:rPr>
        <w:t>www.taimyr24.ru</w:t>
      </w:r>
      <w:r>
        <w:fldChar w:fldCharType="end"/>
      </w:r>
      <w:r>
        <w:rPr>
          <w:rStyle w:val="CharStyle3"/>
          <w:lang w:val="en-US" w:eastAsia="en-US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700"/>
        <w:jc w:val="both"/>
      </w:pPr>
      <w:r>
        <w:rPr>
          <w:rStyle w:val="CharStyle3"/>
        </w:rPr>
        <w:t>В период приема заявок для участия в аукционе претенденты могут ознакомиться и обратиться за информацией о проведении аукциона по адресе: г. Дудинка, ул. Советская, д. 35, каб. 217 тел. 2-85-48, 2-85-55.</w:t>
      </w:r>
    </w:p>
    <w:sectPr>
      <w:footnotePr>
        <w:pos w:val="pageBottom"/>
        <w:numFmt w:val="decimal"/>
        <w:numRestart w:val="continuous"/>
      </w:footnotePr>
      <w:pgSz w:w="11900" w:h="16840"/>
      <w:pgMar w:top="1343" w:right="1055" w:bottom="1343" w:left="1269" w:header="915" w:footer="91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